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5D" w:rsidRPr="005834D7" w:rsidRDefault="0010335D" w:rsidP="00446C40">
      <w:pPr>
        <w:pStyle w:val="GvdeMetni2"/>
        <w:rPr>
          <w:rFonts w:ascii="Times New Roman" w:hAnsi="Times New Roman"/>
        </w:rPr>
      </w:pPr>
    </w:p>
    <w:p w:rsidR="0052446E" w:rsidRPr="005834D7" w:rsidRDefault="00446C40" w:rsidP="0052446E">
      <w:pPr>
        <w:pStyle w:val="GvdeMetni2"/>
        <w:rPr>
          <w:rFonts w:ascii="Times New Roman" w:hAnsi="Times New Roman"/>
        </w:rPr>
      </w:pPr>
      <w:r w:rsidRPr="005834D7">
        <w:rPr>
          <w:rFonts w:ascii="Times New Roman" w:hAnsi="Times New Roman"/>
        </w:rPr>
        <w:tab/>
      </w:r>
    </w:p>
    <w:p w:rsidR="00446C40" w:rsidRPr="005834D7" w:rsidRDefault="00446C40" w:rsidP="0052446E">
      <w:pPr>
        <w:pStyle w:val="GvdeMetni2"/>
        <w:rPr>
          <w:rFonts w:ascii="Times New Roman" w:hAnsi="Times New Roman"/>
          <w:b/>
          <w:bCs/>
        </w:rPr>
      </w:pPr>
      <w:r w:rsidRPr="005834D7">
        <w:rPr>
          <w:rFonts w:ascii="Times New Roman" w:hAnsi="Times New Roman"/>
        </w:rPr>
        <w:tab/>
      </w:r>
      <w:r w:rsidRPr="005834D7">
        <w:rPr>
          <w:rFonts w:ascii="Times New Roman" w:hAnsi="Times New Roman"/>
        </w:rPr>
        <w:tab/>
      </w:r>
      <w:r w:rsidRPr="005834D7">
        <w:rPr>
          <w:rFonts w:ascii="Times New Roman" w:hAnsi="Times New Roman"/>
        </w:rPr>
        <w:tab/>
      </w:r>
      <w:r w:rsidRPr="005834D7">
        <w:rPr>
          <w:rFonts w:ascii="Times New Roman" w:hAnsi="Times New Roman"/>
        </w:rPr>
        <w:tab/>
      </w:r>
      <w:r w:rsidRPr="005834D7">
        <w:rPr>
          <w:rFonts w:ascii="Times New Roman" w:hAnsi="Times New Roman"/>
        </w:rPr>
        <w:tab/>
      </w:r>
    </w:p>
    <w:p w:rsidR="00446C40" w:rsidRPr="005834D7" w:rsidRDefault="00446C40" w:rsidP="0052446E">
      <w:pPr>
        <w:pStyle w:val="GvdeMetni2"/>
        <w:rPr>
          <w:rFonts w:ascii="Times New Roman" w:hAnsi="Times New Roman"/>
          <w:b/>
          <w:bCs/>
        </w:rPr>
      </w:pPr>
    </w:p>
    <w:p w:rsidR="00446C40" w:rsidRPr="005834D7" w:rsidRDefault="00654804" w:rsidP="0052446E">
      <w:pPr>
        <w:pStyle w:val="GvdeMetni2"/>
        <w:rPr>
          <w:rFonts w:ascii="Times New Roman" w:hAnsi="Times New Roman"/>
          <w:b/>
          <w:bCs/>
        </w:rPr>
      </w:pPr>
      <w:r w:rsidRPr="005834D7">
        <w:rPr>
          <w:rFonts w:ascii="Times New Roman" w:hAnsi="Times New Roman"/>
          <w:b/>
        </w:rPr>
        <w:t xml:space="preserve">Sayı </w:t>
      </w:r>
      <w:r w:rsidRPr="005834D7">
        <w:rPr>
          <w:rFonts w:ascii="Times New Roman" w:hAnsi="Times New Roman"/>
          <w:b/>
        </w:rPr>
        <w:tab/>
        <w:t>:</w:t>
      </w:r>
      <w:r w:rsidRPr="005834D7">
        <w:rPr>
          <w:rFonts w:ascii="Times New Roman" w:hAnsi="Times New Roman"/>
        </w:rPr>
        <w:t xml:space="preserve"> 2015</w:t>
      </w:r>
      <w:r w:rsidR="00446C40" w:rsidRPr="005834D7">
        <w:rPr>
          <w:rFonts w:ascii="Times New Roman" w:hAnsi="Times New Roman"/>
        </w:rPr>
        <w:t>/</w:t>
      </w:r>
    </w:p>
    <w:p w:rsidR="00446C40" w:rsidRPr="005834D7" w:rsidRDefault="00446C40" w:rsidP="0052446E">
      <w:pPr>
        <w:pStyle w:val="GvdeMetni2"/>
        <w:rPr>
          <w:rFonts w:ascii="Times New Roman" w:hAnsi="Times New Roman"/>
          <w:b/>
        </w:rPr>
      </w:pPr>
      <w:r w:rsidRPr="005834D7">
        <w:rPr>
          <w:rFonts w:ascii="Times New Roman" w:hAnsi="Times New Roman"/>
          <w:b/>
        </w:rPr>
        <w:t>Konu</w:t>
      </w:r>
      <w:r w:rsidRPr="005834D7">
        <w:rPr>
          <w:rFonts w:ascii="Times New Roman" w:hAnsi="Times New Roman"/>
          <w:b/>
        </w:rPr>
        <w:tab/>
        <w:t>:</w:t>
      </w:r>
      <w:r w:rsidRPr="005834D7">
        <w:rPr>
          <w:rFonts w:ascii="Times New Roman" w:hAnsi="Times New Roman"/>
        </w:rPr>
        <w:t xml:space="preserve"> </w:t>
      </w:r>
      <w:r w:rsidR="00637DFA" w:rsidRPr="005834D7">
        <w:rPr>
          <w:rFonts w:ascii="Times New Roman" w:hAnsi="Times New Roman"/>
        </w:rPr>
        <w:t>Kanun Tasarısı taslağı</w:t>
      </w:r>
    </w:p>
    <w:p w:rsidR="0052446E" w:rsidRPr="005834D7" w:rsidRDefault="0052446E" w:rsidP="0052446E">
      <w:pPr>
        <w:spacing w:after="0" w:line="240" w:lineRule="auto"/>
        <w:rPr>
          <w:rFonts w:ascii="Times New Roman" w:hAnsi="Times New Roman" w:cs="Times New Roman"/>
          <w:b/>
          <w:sz w:val="24"/>
          <w:szCs w:val="24"/>
        </w:rPr>
      </w:pPr>
    </w:p>
    <w:p w:rsidR="00637DFA" w:rsidRPr="005834D7" w:rsidRDefault="00637DFA" w:rsidP="0052446E">
      <w:pPr>
        <w:spacing w:after="0" w:line="240" w:lineRule="auto"/>
        <w:jc w:val="center"/>
        <w:rPr>
          <w:rFonts w:ascii="Times New Roman" w:hAnsi="Times New Roman" w:cs="Times New Roman"/>
          <w:b/>
          <w:bCs/>
          <w:sz w:val="24"/>
          <w:szCs w:val="24"/>
        </w:rPr>
      </w:pPr>
    </w:p>
    <w:p w:rsidR="0065692B" w:rsidRDefault="0065692B" w:rsidP="0052446E">
      <w:pPr>
        <w:spacing w:after="0" w:line="240" w:lineRule="auto"/>
        <w:jc w:val="center"/>
        <w:rPr>
          <w:rFonts w:ascii="Times New Roman" w:hAnsi="Times New Roman" w:cs="Times New Roman"/>
          <w:b/>
          <w:bCs/>
          <w:sz w:val="24"/>
          <w:szCs w:val="24"/>
        </w:rPr>
      </w:pPr>
    </w:p>
    <w:p w:rsidR="00515736" w:rsidRPr="005834D7" w:rsidRDefault="00515736" w:rsidP="0052446E">
      <w:pPr>
        <w:spacing w:after="0" w:line="240" w:lineRule="auto"/>
        <w:jc w:val="center"/>
        <w:rPr>
          <w:rFonts w:ascii="Times New Roman" w:hAnsi="Times New Roman" w:cs="Times New Roman"/>
          <w:b/>
          <w:bCs/>
          <w:sz w:val="24"/>
          <w:szCs w:val="24"/>
        </w:rPr>
      </w:pPr>
      <w:r w:rsidRPr="005834D7">
        <w:rPr>
          <w:rFonts w:ascii="Times New Roman" w:hAnsi="Times New Roman" w:cs="Times New Roman"/>
          <w:b/>
          <w:bCs/>
          <w:sz w:val="24"/>
          <w:szCs w:val="24"/>
        </w:rPr>
        <w:t>T.C.</w:t>
      </w:r>
    </w:p>
    <w:p w:rsidR="00515736" w:rsidRPr="005834D7" w:rsidRDefault="00B30E2D" w:rsidP="0052446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ADALET</w:t>
      </w:r>
      <w:r w:rsidR="00515736" w:rsidRPr="005834D7">
        <w:rPr>
          <w:rFonts w:ascii="Times New Roman" w:hAnsi="Times New Roman" w:cs="Times New Roman"/>
          <w:b/>
          <w:bCs/>
          <w:sz w:val="24"/>
          <w:szCs w:val="24"/>
        </w:rPr>
        <w:t xml:space="preserve"> BAKANLIĞI</w:t>
      </w:r>
    </w:p>
    <w:p w:rsidR="00515736" w:rsidRPr="005834D7" w:rsidRDefault="00637DFA" w:rsidP="0052446E">
      <w:pPr>
        <w:spacing w:after="0" w:line="240" w:lineRule="auto"/>
        <w:jc w:val="center"/>
        <w:rPr>
          <w:rFonts w:ascii="Times New Roman" w:hAnsi="Times New Roman" w:cs="Times New Roman"/>
          <w:b/>
          <w:bCs/>
          <w:sz w:val="24"/>
          <w:szCs w:val="24"/>
        </w:rPr>
      </w:pPr>
      <w:r w:rsidRPr="005834D7">
        <w:rPr>
          <w:rFonts w:ascii="Times New Roman" w:hAnsi="Times New Roman" w:cs="Times New Roman"/>
          <w:b/>
          <w:bCs/>
          <w:sz w:val="24"/>
          <w:szCs w:val="24"/>
        </w:rPr>
        <w:t>Kanunlar Genel Müdürlüğü’ne</w:t>
      </w:r>
    </w:p>
    <w:p w:rsidR="00515736" w:rsidRPr="005834D7" w:rsidRDefault="00515736" w:rsidP="0052446E">
      <w:pPr>
        <w:spacing w:after="0" w:line="240" w:lineRule="auto"/>
        <w:rPr>
          <w:rFonts w:ascii="Times New Roman" w:hAnsi="Times New Roman" w:cs="Times New Roman"/>
          <w:b/>
          <w:bCs/>
          <w:sz w:val="24"/>
          <w:szCs w:val="24"/>
        </w:rPr>
      </w:pPr>
    </w:p>
    <w:p w:rsidR="0052446E" w:rsidRPr="005834D7" w:rsidRDefault="0052446E" w:rsidP="0052446E">
      <w:pPr>
        <w:spacing w:after="0" w:line="240" w:lineRule="auto"/>
        <w:rPr>
          <w:rFonts w:ascii="Times New Roman" w:hAnsi="Times New Roman" w:cs="Times New Roman"/>
          <w:b/>
          <w:bCs/>
          <w:sz w:val="24"/>
          <w:szCs w:val="24"/>
        </w:rPr>
      </w:pPr>
    </w:p>
    <w:p w:rsidR="00515736" w:rsidRPr="005834D7" w:rsidRDefault="00515736" w:rsidP="00637DFA">
      <w:pPr>
        <w:spacing w:after="0" w:line="240" w:lineRule="auto"/>
        <w:rPr>
          <w:rFonts w:ascii="Times New Roman" w:hAnsi="Times New Roman" w:cs="Times New Roman"/>
          <w:bCs/>
          <w:sz w:val="24"/>
          <w:szCs w:val="24"/>
        </w:rPr>
      </w:pPr>
      <w:r w:rsidRPr="005834D7">
        <w:rPr>
          <w:rFonts w:ascii="Times New Roman" w:hAnsi="Times New Roman" w:cs="Times New Roman"/>
          <w:b/>
          <w:bCs/>
          <w:sz w:val="24"/>
          <w:szCs w:val="24"/>
        </w:rPr>
        <w:t>İlgi</w:t>
      </w:r>
      <w:r w:rsidR="00637DFA" w:rsidRPr="005834D7">
        <w:rPr>
          <w:rFonts w:ascii="Times New Roman" w:hAnsi="Times New Roman" w:cs="Times New Roman"/>
          <w:b/>
          <w:bCs/>
          <w:sz w:val="24"/>
          <w:szCs w:val="24"/>
        </w:rPr>
        <w:tab/>
      </w:r>
      <w:r w:rsidRPr="005834D7">
        <w:rPr>
          <w:rFonts w:ascii="Times New Roman" w:hAnsi="Times New Roman" w:cs="Times New Roman"/>
          <w:b/>
          <w:bCs/>
          <w:sz w:val="24"/>
          <w:szCs w:val="24"/>
        </w:rPr>
        <w:t xml:space="preserve">: </w:t>
      </w:r>
      <w:proofErr w:type="gramStart"/>
      <w:r w:rsidR="00637DFA" w:rsidRPr="005834D7">
        <w:rPr>
          <w:rFonts w:ascii="Times New Roman" w:hAnsi="Times New Roman" w:cs="Times New Roman"/>
          <w:bCs/>
          <w:sz w:val="24"/>
          <w:szCs w:val="24"/>
        </w:rPr>
        <w:t>18/05/2015</w:t>
      </w:r>
      <w:proofErr w:type="gramEnd"/>
      <w:r w:rsidR="00637DFA" w:rsidRPr="005834D7">
        <w:rPr>
          <w:rFonts w:ascii="Times New Roman" w:hAnsi="Times New Roman" w:cs="Times New Roman"/>
          <w:bCs/>
          <w:sz w:val="24"/>
          <w:szCs w:val="24"/>
        </w:rPr>
        <w:t xml:space="preserve"> tarihli ve 84053534/2015-271.01-01/782/3472 sayılı yazınız.</w:t>
      </w:r>
    </w:p>
    <w:p w:rsidR="00446C40" w:rsidRPr="005834D7" w:rsidRDefault="00446C40" w:rsidP="0052446E">
      <w:pPr>
        <w:spacing w:after="0" w:line="240" w:lineRule="auto"/>
        <w:rPr>
          <w:rFonts w:ascii="Times New Roman" w:hAnsi="Times New Roman" w:cs="Times New Roman"/>
          <w:b/>
          <w:sz w:val="24"/>
          <w:szCs w:val="24"/>
        </w:rPr>
      </w:pPr>
    </w:p>
    <w:p w:rsidR="00637DFA" w:rsidRPr="005834D7" w:rsidRDefault="00CB74D0" w:rsidP="00637DFA">
      <w:pPr>
        <w:spacing w:after="0" w:line="240" w:lineRule="auto"/>
        <w:jc w:val="both"/>
        <w:rPr>
          <w:rFonts w:ascii="Times New Roman" w:hAnsi="Times New Roman" w:cs="Times New Roman"/>
          <w:sz w:val="24"/>
          <w:szCs w:val="24"/>
        </w:rPr>
      </w:pPr>
      <w:r w:rsidRPr="005834D7">
        <w:rPr>
          <w:rFonts w:ascii="Times New Roman" w:hAnsi="Times New Roman" w:cs="Times New Roman"/>
          <w:b/>
          <w:sz w:val="24"/>
          <w:szCs w:val="24"/>
        </w:rPr>
        <w:tab/>
      </w:r>
      <w:r w:rsidRPr="005834D7">
        <w:rPr>
          <w:rFonts w:ascii="Times New Roman" w:hAnsi="Times New Roman" w:cs="Times New Roman"/>
          <w:sz w:val="24"/>
          <w:szCs w:val="24"/>
        </w:rPr>
        <w:t xml:space="preserve">İlgi </w:t>
      </w:r>
      <w:r w:rsidR="00637DFA" w:rsidRPr="005834D7">
        <w:rPr>
          <w:rFonts w:ascii="Times New Roman" w:hAnsi="Times New Roman" w:cs="Times New Roman"/>
          <w:sz w:val="24"/>
          <w:szCs w:val="24"/>
        </w:rPr>
        <w:t>‘de kayıtlı yazınız ile Bakanlığınızca hazırlanan “Bilirkişilik Kanun</w:t>
      </w:r>
      <w:r w:rsidR="00B30E2D">
        <w:rPr>
          <w:rFonts w:ascii="Times New Roman" w:hAnsi="Times New Roman" w:cs="Times New Roman"/>
          <w:sz w:val="24"/>
          <w:szCs w:val="24"/>
        </w:rPr>
        <w:t>u</w:t>
      </w:r>
      <w:r w:rsidR="00637DFA" w:rsidRPr="005834D7">
        <w:rPr>
          <w:rFonts w:ascii="Times New Roman" w:hAnsi="Times New Roman" w:cs="Times New Roman"/>
          <w:sz w:val="24"/>
          <w:szCs w:val="24"/>
        </w:rPr>
        <w:t xml:space="preserve"> Tasarısı” taslağı ve ge</w:t>
      </w:r>
      <w:r w:rsidR="00B30E2D">
        <w:rPr>
          <w:rFonts w:ascii="Times New Roman" w:hAnsi="Times New Roman" w:cs="Times New Roman"/>
          <w:sz w:val="24"/>
          <w:szCs w:val="24"/>
        </w:rPr>
        <w:t>rekçesi Birliğimize gönderilmiş ve</w:t>
      </w:r>
      <w:r w:rsidR="00637DFA" w:rsidRPr="005834D7">
        <w:rPr>
          <w:rFonts w:ascii="Times New Roman" w:hAnsi="Times New Roman" w:cs="Times New Roman"/>
          <w:sz w:val="24"/>
          <w:szCs w:val="24"/>
        </w:rPr>
        <w:t xml:space="preserve"> söz konusu taslak hakkındaki görüşlerimizin Bakanlığınıza bildirilmesi istenilmiştir. Birliğimize gönderilen taslak metin ve gerekçe incelenmiş, konuya ilişkin görüşlerimiz aşağıda </w:t>
      </w:r>
      <w:r w:rsidR="00B30E2D">
        <w:rPr>
          <w:rFonts w:ascii="Times New Roman" w:hAnsi="Times New Roman" w:cs="Times New Roman"/>
          <w:sz w:val="24"/>
          <w:szCs w:val="24"/>
        </w:rPr>
        <w:t>sunulm</w:t>
      </w:r>
      <w:r w:rsidR="00E42376">
        <w:rPr>
          <w:rFonts w:ascii="Times New Roman" w:hAnsi="Times New Roman" w:cs="Times New Roman"/>
          <w:sz w:val="24"/>
          <w:szCs w:val="24"/>
        </w:rPr>
        <w:t>u</w:t>
      </w:r>
      <w:r w:rsidR="00B30E2D">
        <w:rPr>
          <w:rFonts w:ascii="Times New Roman" w:hAnsi="Times New Roman" w:cs="Times New Roman"/>
          <w:sz w:val="24"/>
          <w:szCs w:val="24"/>
        </w:rPr>
        <w:t>ştur</w:t>
      </w:r>
      <w:r w:rsidR="00637DFA" w:rsidRPr="005834D7">
        <w:rPr>
          <w:rFonts w:ascii="Times New Roman" w:hAnsi="Times New Roman" w:cs="Times New Roman"/>
          <w:sz w:val="24"/>
          <w:szCs w:val="24"/>
        </w:rPr>
        <w:t>.</w:t>
      </w:r>
    </w:p>
    <w:p w:rsidR="00637DFA" w:rsidRPr="005834D7" w:rsidRDefault="00637DFA" w:rsidP="00637DFA">
      <w:pPr>
        <w:spacing w:after="0" w:line="240" w:lineRule="auto"/>
        <w:jc w:val="both"/>
        <w:rPr>
          <w:rFonts w:ascii="Times New Roman" w:hAnsi="Times New Roman" w:cs="Times New Roman"/>
          <w:sz w:val="24"/>
          <w:szCs w:val="24"/>
        </w:rPr>
      </w:pPr>
    </w:p>
    <w:p w:rsidR="00637DFA" w:rsidRPr="005834D7" w:rsidRDefault="00637DFA" w:rsidP="005834D7">
      <w:pPr>
        <w:pStyle w:val="ListeParagraf"/>
        <w:numPr>
          <w:ilvl w:val="0"/>
          <w:numId w:val="5"/>
        </w:numPr>
        <w:ind w:left="426" w:hanging="426"/>
        <w:jc w:val="both"/>
      </w:pPr>
      <w:r w:rsidRPr="005834D7">
        <w:t>Taslağın 4 üncü maddesinin ikinci fıkrasının (ı) bendinde</w:t>
      </w:r>
      <w:r w:rsidR="00B30E2D">
        <w:t>,</w:t>
      </w:r>
      <w:r w:rsidRPr="005834D7">
        <w:t xml:space="preserve"> Birliğimizce meslek mensupları arasından seçilecek bir temsilcinin Bilirkişilik Üst Kurulunda yer alacağı isabetli olarak düzenlenmiştir. Ancak Taslağın bilirkişilik bölge kurullarının oluşumunu düzenleyen 6 </w:t>
      </w:r>
      <w:proofErr w:type="spellStart"/>
      <w:r w:rsidRPr="005834D7">
        <w:t>ncı</w:t>
      </w:r>
      <w:proofErr w:type="spellEnd"/>
      <w:r w:rsidRPr="005834D7">
        <w:t xml:space="preserve"> maddesinde </w:t>
      </w:r>
      <w:r w:rsidR="00C42AB7" w:rsidRPr="005834D7">
        <w:t>bölge kurullarında meslek mensuplarımızdan bir kişinin bulunacağına ilişkin bir düzenleme yapılmamıştır.</w:t>
      </w:r>
    </w:p>
    <w:p w:rsidR="00C42AB7" w:rsidRPr="005834D7" w:rsidRDefault="00C42AB7" w:rsidP="00C42AB7">
      <w:pPr>
        <w:pStyle w:val="ListeParagraf"/>
        <w:jc w:val="both"/>
      </w:pPr>
    </w:p>
    <w:p w:rsidR="00C42AB7" w:rsidRPr="005834D7" w:rsidRDefault="00C42AB7" w:rsidP="005834D7">
      <w:pPr>
        <w:pStyle w:val="ListeParagraf"/>
        <w:ind w:left="426"/>
        <w:jc w:val="both"/>
      </w:pPr>
      <w:r w:rsidRPr="005834D7">
        <w:t xml:space="preserve">Taslağın 6 </w:t>
      </w:r>
      <w:proofErr w:type="spellStart"/>
      <w:r w:rsidRPr="005834D7">
        <w:t>ncı</w:t>
      </w:r>
      <w:proofErr w:type="spellEnd"/>
      <w:r w:rsidRPr="005834D7">
        <w:t xml:space="preserve"> maddesinin gerekçesinde </w:t>
      </w:r>
      <w:r w:rsidRPr="005834D7">
        <w:rPr>
          <w:i/>
        </w:rPr>
        <w:t xml:space="preserve">“Bölge kurulları oluşturulurken, Üst Kurul oluşumuna benzer şekilde, </w:t>
      </w:r>
      <w:r w:rsidRPr="005834D7">
        <w:rPr>
          <w:b/>
          <w:i/>
        </w:rPr>
        <w:t>bilirkişilik hizmetleriyle ilgisi</w:t>
      </w:r>
      <w:r w:rsidRPr="005834D7">
        <w:rPr>
          <w:i/>
        </w:rPr>
        <w:t xml:space="preserve"> ve </w:t>
      </w:r>
      <w:r w:rsidRPr="005834D7">
        <w:rPr>
          <w:b/>
          <w:i/>
        </w:rPr>
        <w:t>bu alana verecekleri katkılar gözetilerek</w:t>
      </w:r>
      <w:r w:rsidRPr="005834D7">
        <w:rPr>
          <w:i/>
        </w:rPr>
        <w:t xml:space="preserve"> ilk derece mahkemeleri, üniversiteler, meslek odaları ve meslek birliklerinden temsilcilerin katılımını sağlayacak bir model öngörülmektedir.” </w:t>
      </w:r>
      <w:r w:rsidRPr="005834D7">
        <w:t xml:space="preserve">açıklamasına yer verilmektedir. </w:t>
      </w:r>
    </w:p>
    <w:p w:rsidR="00C42AB7" w:rsidRPr="005834D7" w:rsidRDefault="00C42AB7" w:rsidP="00C42AB7">
      <w:pPr>
        <w:pStyle w:val="ListeParagraf"/>
        <w:jc w:val="both"/>
      </w:pPr>
    </w:p>
    <w:p w:rsidR="00035820" w:rsidRPr="005834D7" w:rsidRDefault="00C42AB7" w:rsidP="005834D7">
      <w:pPr>
        <w:pStyle w:val="ListeParagraf"/>
        <w:ind w:left="426"/>
        <w:jc w:val="both"/>
      </w:pPr>
      <w:r w:rsidRPr="005834D7">
        <w:t xml:space="preserve">3568 sayılı Kanun’un 2 </w:t>
      </w:r>
      <w:proofErr w:type="spellStart"/>
      <w:r w:rsidRPr="005834D7">
        <w:t>nci</w:t>
      </w:r>
      <w:proofErr w:type="spellEnd"/>
      <w:r w:rsidRPr="005834D7">
        <w:t xml:space="preserve"> maddesinin A fıkrasının (c) bendi uyarınca yasal meslek konularından biri bilirkişilik olan bir meslek grubunun diğer tüm meslek gruplarından önce bölge kurullarına alınmasının gerektiği</w:t>
      </w:r>
      <w:r w:rsidR="009C1449" w:rsidRPr="005834D7">
        <w:t xml:space="preserve"> düşünülmektedir. M</w:t>
      </w:r>
      <w:r w:rsidRPr="005834D7">
        <w:t xml:space="preserve">ali konularda bilirkişiye başvurulma yoğunluğu </w:t>
      </w:r>
      <w:r w:rsidR="00B30E2D">
        <w:t>ve</w:t>
      </w:r>
      <w:r w:rsidR="009C1449" w:rsidRPr="005834D7">
        <w:t xml:space="preserve"> bilirkişi raporları nedeniyle bu Kanun kapsamında yapılacak şikâyet başvurularının </w:t>
      </w:r>
      <w:r w:rsidR="00416056">
        <w:t>birçoğunun</w:t>
      </w:r>
      <w:r w:rsidR="009C1449" w:rsidRPr="005834D7">
        <w:t xml:space="preserve"> mali boyutunun olacağı </w:t>
      </w:r>
      <w:r w:rsidRPr="005834D7">
        <w:t>dikkate alındığında</w:t>
      </w:r>
      <w:r w:rsidR="009C1449" w:rsidRPr="005834D7">
        <w:t>,</w:t>
      </w:r>
      <w:r w:rsidRPr="005834D7">
        <w:t xml:space="preserve"> meslek mensuplarımızın bu al</w:t>
      </w:r>
      <w:r w:rsidR="009C1449" w:rsidRPr="005834D7">
        <w:t xml:space="preserve">ana çok büyük katkı sağlayacağı </w:t>
      </w:r>
      <w:r w:rsidR="00035820" w:rsidRPr="005834D7">
        <w:t xml:space="preserve">da </w:t>
      </w:r>
      <w:r w:rsidR="009C1449" w:rsidRPr="005834D7">
        <w:t xml:space="preserve">tartışmasız hale gelmektedir. Ayrıca bölge kurullarında bir meslek mensubumuzun bulunması Üst Kurulun oluşumuyla da uyumlu olacaktır. </w:t>
      </w:r>
    </w:p>
    <w:p w:rsidR="005834D7" w:rsidRPr="005834D7" w:rsidRDefault="005834D7" w:rsidP="00C42AB7">
      <w:pPr>
        <w:pStyle w:val="ListeParagraf"/>
        <w:jc w:val="both"/>
      </w:pPr>
    </w:p>
    <w:p w:rsidR="00C42AB7" w:rsidRPr="005834D7" w:rsidRDefault="009C1449" w:rsidP="005834D7">
      <w:pPr>
        <w:pStyle w:val="ListeParagraf"/>
        <w:ind w:left="426"/>
        <w:jc w:val="both"/>
      </w:pPr>
      <w:r w:rsidRPr="005834D7">
        <w:t>Açıklanan nedenlerle, Taslağın 6</w:t>
      </w:r>
      <w:r w:rsidR="00035820" w:rsidRPr="005834D7">
        <w:t xml:space="preserve"> </w:t>
      </w:r>
      <w:proofErr w:type="spellStart"/>
      <w:r w:rsidR="00035820" w:rsidRPr="005834D7">
        <w:t>ncı</w:t>
      </w:r>
      <w:proofErr w:type="spellEnd"/>
      <w:r w:rsidR="00035820" w:rsidRPr="005834D7">
        <w:t xml:space="preserve"> maddesinin ikinci fıkrasının sonuna </w:t>
      </w:r>
      <w:r w:rsidR="00035820" w:rsidRPr="005834D7">
        <w:rPr>
          <w:i/>
        </w:rPr>
        <w:t xml:space="preserve">“Türkiye Serbest Muhasebeci Mali Müşavirler ve Yeminli Mali Müşavirler Odaları Birliği Yönetim Kurulu tarafından </w:t>
      </w:r>
      <w:r w:rsidR="005834D7" w:rsidRPr="005834D7">
        <w:rPr>
          <w:i/>
        </w:rPr>
        <w:t xml:space="preserve">bölge kurulunun bulunduğu ilde görev yapan </w:t>
      </w:r>
      <w:r w:rsidR="00035820" w:rsidRPr="005834D7">
        <w:rPr>
          <w:i/>
        </w:rPr>
        <w:t>muhasebeci veya mali müşavirler arasından seçilecek bir kişi.</w:t>
      </w:r>
      <w:r w:rsidR="005834D7" w:rsidRPr="005834D7">
        <w:rPr>
          <w:i/>
        </w:rPr>
        <w:t>”</w:t>
      </w:r>
      <w:r w:rsidR="005834D7" w:rsidRPr="005834D7">
        <w:t xml:space="preserve"> şeklinde bir (e) bendinin eklenmesinin uygun olacağı değerlendirilmektedir.</w:t>
      </w:r>
    </w:p>
    <w:p w:rsidR="005834D7" w:rsidRPr="005834D7" w:rsidRDefault="005834D7" w:rsidP="005834D7">
      <w:pPr>
        <w:pStyle w:val="ListeParagraf"/>
        <w:ind w:left="0"/>
        <w:jc w:val="both"/>
      </w:pPr>
    </w:p>
    <w:p w:rsidR="00610760" w:rsidRDefault="005834D7" w:rsidP="00610760">
      <w:pPr>
        <w:pStyle w:val="ListeParagraf"/>
        <w:numPr>
          <w:ilvl w:val="0"/>
          <w:numId w:val="5"/>
        </w:numPr>
        <w:ind w:left="426" w:hanging="426"/>
        <w:jc w:val="both"/>
      </w:pPr>
      <w:r>
        <w:lastRenderedPageBreak/>
        <w:t xml:space="preserve">Taslağın 9 uncu maddesinde bölge kurullarının itiraz üzerine verdikleri kararlar aleyhine 15 gün içerisinde idari yargıda dava açılabileceği ve bu dava sonucu verilen kararların kesin olduğu düzenlenmektedir. </w:t>
      </w:r>
    </w:p>
    <w:p w:rsidR="00416056" w:rsidRDefault="00416056" w:rsidP="00610760">
      <w:pPr>
        <w:pStyle w:val="ListeParagraf"/>
        <w:ind w:left="426"/>
        <w:jc w:val="both"/>
      </w:pPr>
    </w:p>
    <w:p w:rsidR="00610760" w:rsidRDefault="005834D7" w:rsidP="00610760">
      <w:pPr>
        <w:pStyle w:val="ListeParagraf"/>
        <w:ind w:left="426"/>
        <w:jc w:val="both"/>
      </w:pPr>
      <w:r>
        <w:t xml:space="preserve">Öncelikle belirtmek gerekir ki, özel kanunlarda </w:t>
      </w:r>
      <w:r w:rsidR="00610760">
        <w:t xml:space="preserve">dava açma sürelerine ve </w:t>
      </w:r>
      <w:r>
        <w:t>yargılama usulüne ilişkin düzenlemelere yer verilmesi</w:t>
      </w:r>
      <w:r w:rsidR="00610760">
        <w:t>,</w:t>
      </w:r>
      <w:r>
        <w:t xml:space="preserve"> </w:t>
      </w:r>
      <w:r w:rsidR="00610760">
        <w:t xml:space="preserve">bu maddelere istinaden dava açacak bireylerin ve uygulayıcıların hata yapmalarına sebebiyet verebilecek niteliktedir. Ayrıca, kurul kararlarına dava açma için 15 gün gibi çok kısa bir süre tanınması ve bu davalarda verilecek kararların kesin olduğunun belirtilmesi, hak arama özgürlüğünün kısıtlanması yönünden de tartışılabilir bir düzenleme olacaktır. </w:t>
      </w:r>
    </w:p>
    <w:p w:rsidR="00610760" w:rsidRDefault="00610760" w:rsidP="00610760">
      <w:pPr>
        <w:pStyle w:val="ListeParagraf"/>
        <w:ind w:left="426"/>
        <w:jc w:val="both"/>
      </w:pPr>
    </w:p>
    <w:p w:rsidR="00610760" w:rsidRDefault="00610760" w:rsidP="00610760">
      <w:pPr>
        <w:pStyle w:val="ListeParagraf"/>
        <w:ind w:left="426"/>
        <w:jc w:val="both"/>
      </w:pPr>
      <w:r>
        <w:t xml:space="preserve">2577 sayılı İdari Yargılama Usulü Kanunun “İvedi Yargılama Usulü”nü düzenleyen 20/A maddesinde dahi dava açma süresi 30 gün olarak belirlenirken, bölge kurullarının itiraz üzerine verdikleri kararlar aleyhine 15 gün içerisinde dava açılacağının düzenlenmesi bir çelişki arz etmektedir. Ayrıca idare mahkemesince verilecek kararın kesin olduğunun düzenlenmesi de idari yargılama usulünün bütünlüğünü bozmaktadır. </w:t>
      </w:r>
    </w:p>
    <w:p w:rsidR="00610760" w:rsidRDefault="00610760" w:rsidP="00610760">
      <w:pPr>
        <w:pStyle w:val="ListeParagraf"/>
        <w:ind w:left="426"/>
        <w:jc w:val="both"/>
      </w:pPr>
    </w:p>
    <w:p w:rsidR="00610760" w:rsidRDefault="00610760" w:rsidP="00610760">
      <w:pPr>
        <w:pStyle w:val="ListeParagraf"/>
        <w:ind w:left="426"/>
        <w:jc w:val="both"/>
      </w:pPr>
      <w:r>
        <w:t>Bu nedenle bölge kurulu kararlarına karşı açılacak davalara yönelik istisnai düzenlemelerin taslaktan çıkarılmasının uygun olacağı değerlendirilmektedir.</w:t>
      </w:r>
    </w:p>
    <w:p w:rsidR="00610760" w:rsidRDefault="00610760" w:rsidP="00EF35B6">
      <w:pPr>
        <w:spacing w:after="0" w:line="240" w:lineRule="auto"/>
        <w:jc w:val="both"/>
      </w:pPr>
    </w:p>
    <w:p w:rsidR="0010457B" w:rsidRDefault="00EF35B6" w:rsidP="00610760">
      <w:pPr>
        <w:pStyle w:val="ListeParagraf"/>
        <w:numPr>
          <w:ilvl w:val="0"/>
          <w:numId w:val="5"/>
        </w:numPr>
        <w:ind w:left="426" w:hanging="426"/>
        <w:jc w:val="both"/>
      </w:pPr>
      <w:r>
        <w:t xml:space="preserve">Taslağın 14 üncü maddesinin birinci fıkrasının (d) bendinde </w:t>
      </w:r>
      <w:r w:rsidRPr="00416056">
        <w:rPr>
          <w:i/>
        </w:rPr>
        <w:t>“Bölge kurulu tarafından yapılacak performans değerlendirmeleri sonucunda yeterli bulunulmaması.”</w:t>
      </w:r>
      <w:r>
        <w:t xml:space="preserve"> bilirkişilerin sicilden ve listeden silinme nedenleri arasında düzenlenmiştir. Ancak, maddede </w:t>
      </w:r>
      <w:r w:rsidR="00AE1E11">
        <w:t>performans ölçütlerinin ne olacağı ve bu ölçütlerin kim tarafından hangi usulde belirleneceğine ilişkin bir açıklama bulunmamak</w:t>
      </w:r>
      <w:r w:rsidR="0010457B">
        <w:t>tad</w:t>
      </w:r>
      <w:r w:rsidR="00AE1E11">
        <w:t xml:space="preserve">ır. </w:t>
      </w:r>
    </w:p>
    <w:p w:rsidR="0010457B" w:rsidRDefault="0010457B" w:rsidP="0010457B">
      <w:pPr>
        <w:pStyle w:val="ListeParagraf"/>
        <w:ind w:left="426"/>
        <w:jc w:val="both"/>
      </w:pPr>
    </w:p>
    <w:p w:rsidR="00610760" w:rsidRDefault="00AE1E11" w:rsidP="0010457B">
      <w:pPr>
        <w:pStyle w:val="ListeParagraf"/>
        <w:ind w:left="426"/>
        <w:jc w:val="both"/>
      </w:pPr>
      <w:r>
        <w:t xml:space="preserve">Bilirkişilik faaliyetlerinde performans ölçütlerinin belirlenmesi başlı başına sıkıntı arz eden bir durumdur. Zira </w:t>
      </w:r>
      <w:r w:rsidR="0010457B">
        <w:t>bilirkişilik açısından ne üretildiği ve ne kadar iyi üretildiğini ölçmek her zaman mümkün değildir. Açıklanan nedenlerle, bilirkişilik konusunda performans değerlendirmesi yapılmasını öngören düzenlemenin mümkünse kaldırılması, mümkün değilse de konunun detaylandırılması gerektiği düşünülmektedir.</w:t>
      </w:r>
    </w:p>
    <w:p w:rsidR="0010457B" w:rsidRDefault="0010457B" w:rsidP="0010457B">
      <w:pPr>
        <w:spacing w:after="0" w:line="240" w:lineRule="auto"/>
        <w:jc w:val="both"/>
      </w:pPr>
    </w:p>
    <w:p w:rsidR="0010457B" w:rsidRDefault="0010457B" w:rsidP="0010457B">
      <w:pPr>
        <w:pStyle w:val="ListeParagraf"/>
        <w:numPr>
          <w:ilvl w:val="0"/>
          <w:numId w:val="5"/>
        </w:numPr>
        <w:ind w:left="426" w:hanging="426"/>
        <w:jc w:val="both"/>
      </w:pPr>
      <w:r>
        <w:t xml:space="preserve">Taslağın 15 inci maddesinin birinci ve üçüncü fıkralarında, bilirkişilerin hazırladıkları raporların mevzuata uygunluğu bakımından </w:t>
      </w:r>
      <w:proofErr w:type="spellStart"/>
      <w:r>
        <w:t>re’sen</w:t>
      </w:r>
      <w:proofErr w:type="spellEnd"/>
      <w:r>
        <w:t xml:space="preserve"> veya şikâyet üzerine bölge kurulları tarafından denetlenebilecekleri düzenlenmektedir.</w:t>
      </w:r>
    </w:p>
    <w:p w:rsidR="0010457B" w:rsidRDefault="0010457B" w:rsidP="0010457B">
      <w:pPr>
        <w:pStyle w:val="ListeParagraf"/>
        <w:ind w:left="426"/>
        <w:jc w:val="both"/>
      </w:pPr>
    </w:p>
    <w:p w:rsidR="00E6380A" w:rsidRDefault="00E6380A" w:rsidP="0010457B">
      <w:pPr>
        <w:pStyle w:val="ListeParagraf"/>
        <w:ind w:left="426"/>
        <w:jc w:val="both"/>
      </w:pPr>
      <w:r>
        <w:t xml:space="preserve">Bu durum, </w:t>
      </w:r>
      <w:r w:rsidR="0010457B">
        <w:t xml:space="preserve">bir </w:t>
      </w:r>
      <w:r>
        <w:t>uyuşmazlıkta</w:t>
      </w:r>
      <w:r w:rsidR="0010457B">
        <w:t xml:space="preserve"> hâkim</w:t>
      </w:r>
      <w:r>
        <w:t xml:space="preserve"> veya Cumhuriyet savcısı</w:t>
      </w:r>
      <w:r w:rsidR="0010457B">
        <w:t xml:space="preserve"> tarafından istenilen ve değerlendirmesi de </w:t>
      </w:r>
      <w:r>
        <w:t>bunlar</w:t>
      </w:r>
      <w:r w:rsidR="0010457B">
        <w:t xml:space="preserve"> tarafından yapılacak olan </w:t>
      </w:r>
      <w:r>
        <w:t>bilirkişi</w:t>
      </w:r>
      <w:r w:rsidR="0010457B">
        <w:t xml:space="preserve"> raporun</w:t>
      </w:r>
      <w:r>
        <w:t>un,</w:t>
      </w:r>
      <w:r w:rsidR="0010457B">
        <w:t xml:space="preserve"> uyuşmazlığa b</w:t>
      </w:r>
      <w:r>
        <w:t xml:space="preserve">akmakta olan yargı mercii yanında -ve hatta bazı durumlarda onlardan önce- </w:t>
      </w:r>
      <w:r w:rsidR="0010457B">
        <w:t>bölge kurulunca değerlendirilmesi</w:t>
      </w:r>
      <w:r w:rsidR="00416056">
        <w:t>, bu değerlendirmeler sonucu bir biri ile çelişen kararların ortaya çıkması</w:t>
      </w:r>
      <w:r w:rsidR="0010457B">
        <w:t xml:space="preserve"> gibi sonuçlara yol </w:t>
      </w:r>
      <w:r>
        <w:t xml:space="preserve">açacaktır. </w:t>
      </w:r>
    </w:p>
    <w:p w:rsidR="00E6380A" w:rsidRDefault="00E6380A" w:rsidP="0010457B">
      <w:pPr>
        <w:pStyle w:val="ListeParagraf"/>
        <w:ind w:left="426"/>
        <w:jc w:val="both"/>
      </w:pPr>
    </w:p>
    <w:p w:rsidR="00E6380A" w:rsidRDefault="00E6380A" w:rsidP="0010457B">
      <w:pPr>
        <w:pStyle w:val="ListeParagraf"/>
        <w:ind w:left="426"/>
        <w:jc w:val="both"/>
      </w:pPr>
      <w:r>
        <w:t xml:space="preserve">Ülkemiz gerçekleri dikkate alındığında, bilirkişi raporu aleyhine olan hemen herkesin Kanunda öngörülecek bu şikâyet mekanizmasını çalıştıracağı açıktır. Bu durum ise, raporların hükme esas alınmasında ciddi sıkıntılara yol açacak ve bölge kurullarını da iş yükü anlamında çalışamaz hale getirecektir.  </w:t>
      </w:r>
    </w:p>
    <w:p w:rsidR="00E6380A" w:rsidRDefault="00E6380A" w:rsidP="0010457B">
      <w:pPr>
        <w:pStyle w:val="ListeParagraf"/>
        <w:ind w:left="426"/>
        <w:jc w:val="both"/>
      </w:pPr>
    </w:p>
    <w:p w:rsidR="008D3FFA" w:rsidRDefault="008D3FFA" w:rsidP="0010457B">
      <w:pPr>
        <w:pStyle w:val="ListeParagraf"/>
        <w:ind w:left="426"/>
        <w:jc w:val="both"/>
      </w:pPr>
      <w:r>
        <w:t xml:space="preserve">Dolayısıyla, bölge kurullarına </w:t>
      </w:r>
      <w:r w:rsidR="000C75E2">
        <w:t>şikâyet</w:t>
      </w:r>
      <w:r>
        <w:t xml:space="preserve"> üzerine</w:t>
      </w:r>
      <w:r w:rsidR="00E6380A">
        <w:t xml:space="preserve"> bilirkişileri</w:t>
      </w:r>
      <w:r>
        <w:t xml:space="preserve"> düzenledikleri raporların mevzuata uygunluğu yönünden de denetleme yetkisi veren hükümlerin taslaktan çıkarılması gerektiği düşünülmektedir.</w:t>
      </w:r>
    </w:p>
    <w:p w:rsidR="008D3FFA" w:rsidRDefault="008D3FFA" w:rsidP="008D3FFA">
      <w:pPr>
        <w:jc w:val="both"/>
      </w:pPr>
    </w:p>
    <w:p w:rsidR="000C75E2" w:rsidRDefault="000C75E2" w:rsidP="000C75E2">
      <w:pPr>
        <w:pStyle w:val="ListeParagraf"/>
        <w:numPr>
          <w:ilvl w:val="0"/>
          <w:numId w:val="5"/>
        </w:numPr>
        <w:ind w:left="426" w:hanging="426"/>
        <w:jc w:val="both"/>
      </w:pPr>
      <w:r>
        <w:t xml:space="preserve">3568 sayılı Serbest Muhasebeci Mali Müşavirlik ve Yeminli Mali Müşavirlik Kanunun 10 uncu maddesinin son fıkrasında; </w:t>
      </w:r>
    </w:p>
    <w:p w:rsidR="000C75E2" w:rsidRDefault="000C75E2" w:rsidP="000C75E2">
      <w:pPr>
        <w:pStyle w:val="ListeParagraf"/>
        <w:ind w:left="426"/>
        <w:jc w:val="both"/>
        <w:rPr>
          <w:i/>
        </w:rPr>
      </w:pPr>
    </w:p>
    <w:p w:rsidR="000C75E2" w:rsidRDefault="000C75E2" w:rsidP="000C75E2">
      <w:pPr>
        <w:pStyle w:val="ListeParagraf"/>
        <w:ind w:left="426"/>
        <w:jc w:val="both"/>
      </w:pPr>
      <w:r w:rsidRPr="000C75E2">
        <w:rPr>
          <w:i/>
        </w:rPr>
        <w:t>“Serbest muhasebeci mali müşavirlik ve yeminli mali müşavirlik sınav sonuçlarının yargı mercilerine intikal etmesi ve mahkemece bilirkişi incelemesine gerek görülmesi halinde, sınav komisyonunda görev almamış olmaları kaydıyla, biri Maliye Bakanlığı merkezi vergi denetim elemanı, biri alanında uzman meslek mensubu, biri ise dava edilen sınav konusunda ihtisas sahibi öğretim üyesinden oluşan üç kişilik bir bilirkişi heyeti tayin edilir.”</w:t>
      </w:r>
      <w:r>
        <w:rPr>
          <w:i/>
        </w:rPr>
        <w:t xml:space="preserve"> </w:t>
      </w:r>
      <w:r w:rsidR="000261B7">
        <w:t>ş</w:t>
      </w:r>
      <w:r>
        <w:t xml:space="preserve">eklinde özel bir düzenlemeye </w:t>
      </w:r>
      <w:r w:rsidR="000261B7">
        <w:t>y</w:t>
      </w:r>
      <w:r>
        <w:t>er verilmiştir.</w:t>
      </w:r>
    </w:p>
    <w:p w:rsidR="000261B7" w:rsidRDefault="000261B7" w:rsidP="000C75E2">
      <w:pPr>
        <w:pStyle w:val="ListeParagraf"/>
        <w:ind w:left="426"/>
        <w:jc w:val="both"/>
      </w:pPr>
    </w:p>
    <w:p w:rsidR="000261B7" w:rsidRDefault="000261B7" w:rsidP="000C75E2">
      <w:pPr>
        <w:pStyle w:val="ListeParagraf"/>
        <w:ind w:left="426"/>
        <w:jc w:val="both"/>
      </w:pPr>
      <w:r>
        <w:t xml:space="preserve">İncelenmekte olan </w:t>
      </w:r>
      <w:r w:rsidR="00B30E2D">
        <w:t>Bilirkişilik Kanun</w:t>
      </w:r>
      <w:r w:rsidR="0065692B">
        <w:t>u</w:t>
      </w:r>
      <w:r w:rsidR="00B30E2D">
        <w:t xml:space="preserve"> Tasarısı</w:t>
      </w:r>
      <w:r w:rsidR="0065692B">
        <w:t xml:space="preserve"> taslağının</w:t>
      </w:r>
      <w:r>
        <w:t xml:space="preserve"> yasalaşması halinde özellikle </w:t>
      </w:r>
      <w:r w:rsidR="00B30E2D">
        <w:t xml:space="preserve">yukarıdaki hüküm uyarınca oluşturulacak </w:t>
      </w:r>
      <w:r>
        <w:t xml:space="preserve">bilirkişi heyetinde yer alacak Maliye Bakanlığı merkezi denetim elamanlarının </w:t>
      </w:r>
      <w:r w:rsidR="00B30E2D">
        <w:t>durumları tartışmalı hale gelecektir. Başka bir anlatımla, bilirkişi listesinde adları bulunmayan merkezi denetim elamanlarının bilirkişi olarak görevlendirilip görevlendirilemeyeceği tartışma konusu olacaktır. Bu tartışmaların önüne geçilmesi amacıyla, ya Tasarı taslağına bir madde eklenerek özel kanunlardaki bilirkişi seçimine dair hükümlerin saklı tutulması ya da yukarıda sunulan hükmün değiştirilmesi gerektiği düşünülmektedir.</w:t>
      </w:r>
    </w:p>
    <w:p w:rsidR="00E81503" w:rsidRDefault="00E81503" w:rsidP="00E81503">
      <w:pPr>
        <w:spacing w:after="0" w:line="240" w:lineRule="auto"/>
        <w:jc w:val="both"/>
      </w:pPr>
    </w:p>
    <w:p w:rsidR="009A3FD0" w:rsidRPr="005834D7" w:rsidRDefault="0052446E" w:rsidP="00E81503">
      <w:pPr>
        <w:spacing w:after="0" w:line="240" w:lineRule="auto"/>
        <w:jc w:val="both"/>
        <w:rPr>
          <w:rFonts w:ascii="Times New Roman" w:hAnsi="Times New Roman" w:cs="Times New Roman"/>
          <w:sz w:val="24"/>
          <w:szCs w:val="24"/>
        </w:rPr>
      </w:pPr>
      <w:r w:rsidRPr="005834D7">
        <w:rPr>
          <w:rFonts w:ascii="Times New Roman" w:hAnsi="Times New Roman" w:cs="Times New Roman"/>
          <w:sz w:val="24"/>
          <w:szCs w:val="24"/>
        </w:rPr>
        <w:t>B</w:t>
      </w:r>
      <w:r w:rsidR="009A3FD0" w:rsidRPr="005834D7">
        <w:rPr>
          <w:rFonts w:ascii="Times New Roman" w:hAnsi="Times New Roman" w:cs="Times New Roman"/>
          <w:sz w:val="24"/>
          <w:szCs w:val="24"/>
        </w:rPr>
        <w:t>ilgilerinize sunarım.</w:t>
      </w:r>
    </w:p>
    <w:p w:rsidR="009A3FD0" w:rsidRPr="005834D7" w:rsidRDefault="009A3FD0" w:rsidP="0052446E">
      <w:pPr>
        <w:spacing w:after="0" w:line="240" w:lineRule="auto"/>
        <w:jc w:val="both"/>
        <w:rPr>
          <w:rFonts w:ascii="Times New Roman" w:hAnsi="Times New Roman" w:cs="Times New Roman"/>
          <w:b/>
          <w:sz w:val="24"/>
          <w:szCs w:val="24"/>
        </w:rPr>
      </w:pPr>
    </w:p>
    <w:p w:rsidR="0052446E" w:rsidRPr="005834D7" w:rsidRDefault="0052446E" w:rsidP="0052446E">
      <w:pPr>
        <w:spacing w:after="0" w:line="240" w:lineRule="auto"/>
        <w:jc w:val="both"/>
        <w:rPr>
          <w:rFonts w:ascii="Times New Roman" w:hAnsi="Times New Roman" w:cs="Times New Roman"/>
          <w:b/>
          <w:sz w:val="24"/>
          <w:szCs w:val="24"/>
        </w:rPr>
      </w:pPr>
    </w:p>
    <w:p w:rsidR="0052446E" w:rsidRPr="005834D7" w:rsidRDefault="0052446E" w:rsidP="0052446E">
      <w:pPr>
        <w:spacing w:after="0" w:line="240" w:lineRule="auto"/>
        <w:jc w:val="both"/>
        <w:rPr>
          <w:rFonts w:ascii="Times New Roman" w:hAnsi="Times New Roman" w:cs="Times New Roman"/>
          <w:b/>
          <w:sz w:val="24"/>
          <w:szCs w:val="24"/>
        </w:rPr>
      </w:pPr>
    </w:p>
    <w:p w:rsidR="00E81503" w:rsidRDefault="00E81503" w:rsidP="0052446E">
      <w:pPr>
        <w:spacing w:after="0" w:line="240" w:lineRule="auto"/>
        <w:ind w:left="5664" w:firstLine="708"/>
        <w:jc w:val="center"/>
        <w:rPr>
          <w:rFonts w:ascii="Times New Roman" w:hAnsi="Times New Roman" w:cs="Times New Roman"/>
          <w:b/>
          <w:sz w:val="24"/>
          <w:szCs w:val="24"/>
        </w:rPr>
      </w:pPr>
    </w:p>
    <w:p w:rsidR="00E81503" w:rsidRDefault="00E81503" w:rsidP="0052446E">
      <w:pPr>
        <w:spacing w:after="0" w:line="240" w:lineRule="auto"/>
        <w:ind w:left="5664" w:firstLine="708"/>
        <w:jc w:val="center"/>
        <w:rPr>
          <w:rFonts w:ascii="Times New Roman" w:hAnsi="Times New Roman" w:cs="Times New Roman"/>
          <w:b/>
          <w:sz w:val="24"/>
          <w:szCs w:val="24"/>
        </w:rPr>
      </w:pPr>
    </w:p>
    <w:p w:rsidR="009A3FD0" w:rsidRPr="005834D7" w:rsidRDefault="009A3FD0" w:rsidP="0052446E">
      <w:pPr>
        <w:spacing w:after="0" w:line="240" w:lineRule="auto"/>
        <w:ind w:left="5664" w:firstLine="708"/>
        <w:jc w:val="center"/>
        <w:rPr>
          <w:rFonts w:ascii="Times New Roman" w:hAnsi="Times New Roman" w:cs="Times New Roman"/>
          <w:b/>
          <w:sz w:val="24"/>
          <w:szCs w:val="24"/>
        </w:rPr>
      </w:pPr>
      <w:proofErr w:type="spellStart"/>
      <w:r w:rsidRPr="005834D7">
        <w:rPr>
          <w:rFonts w:ascii="Times New Roman" w:hAnsi="Times New Roman" w:cs="Times New Roman"/>
          <w:b/>
          <w:sz w:val="24"/>
          <w:szCs w:val="24"/>
        </w:rPr>
        <w:t>Ymm</w:t>
      </w:r>
      <w:proofErr w:type="spellEnd"/>
      <w:r w:rsidRPr="005834D7">
        <w:rPr>
          <w:rFonts w:ascii="Times New Roman" w:hAnsi="Times New Roman" w:cs="Times New Roman"/>
          <w:b/>
          <w:sz w:val="24"/>
          <w:szCs w:val="24"/>
        </w:rPr>
        <w:t>. Nail SANLI</w:t>
      </w:r>
    </w:p>
    <w:p w:rsidR="009A3FD0" w:rsidRPr="005834D7" w:rsidRDefault="009A3FD0" w:rsidP="0052446E">
      <w:pPr>
        <w:spacing w:after="0" w:line="240" w:lineRule="auto"/>
        <w:ind w:left="5664" w:firstLine="708"/>
        <w:jc w:val="center"/>
        <w:rPr>
          <w:rFonts w:ascii="Times New Roman" w:hAnsi="Times New Roman" w:cs="Times New Roman"/>
          <w:b/>
          <w:sz w:val="24"/>
          <w:szCs w:val="24"/>
        </w:rPr>
      </w:pPr>
      <w:r w:rsidRPr="005834D7">
        <w:rPr>
          <w:rFonts w:ascii="Times New Roman" w:hAnsi="Times New Roman" w:cs="Times New Roman"/>
          <w:b/>
          <w:sz w:val="24"/>
          <w:szCs w:val="24"/>
        </w:rPr>
        <w:t>Genel Başkan</w:t>
      </w:r>
    </w:p>
    <w:p w:rsidR="00A32B4C" w:rsidRPr="005834D7" w:rsidRDefault="00A32B4C" w:rsidP="0052446E">
      <w:pPr>
        <w:spacing w:after="0" w:line="240" w:lineRule="auto"/>
        <w:jc w:val="both"/>
        <w:rPr>
          <w:rFonts w:ascii="Times New Roman" w:hAnsi="Times New Roman" w:cs="Times New Roman"/>
          <w:b/>
          <w:sz w:val="24"/>
          <w:szCs w:val="24"/>
        </w:rPr>
      </w:pPr>
    </w:p>
    <w:p w:rsidR="0052446E" w:rsidRPr="005834D7" w:rsidRDefault="0052446E" w:rsidP="0052446E">
      <w:pPr>
        <w:spacing w:after="0" w:line="240" w:lineRule="auto"/>
        <w:jc w:val="both"/>
        <w:rPr>
          <w:rFonts w:ascii="Times New Roman" w:hAnsi="Times New Roman" w:cs="Times New Roman"/>
          <w:b/>
          <w:sz w:val="24"/>
          <w:szCs w:val="24"/>
        </w:rPr>
      </w:pPr>
    </w:p>
    <w:sectPr w:rsidR="0052446E" w:rsidRPr="005834D7" w:rsidSect="00CB74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12C8"/>
    <w:multiLevelType w:val="hybridMultilevel"/>
    <w:tmpl w:val="6E542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DE79F1"/>
    <w:multiLevelType w:val="hybridMultilevel"/>
    <w:tmpl w:val="EADC9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C72018"/>
    <w:multiLevelType w:val="hybridMultilevel"/>
    <w:tmpl w:val="2CA059B0"/>
    <w:lvl w:ilvl="0" w:tplc="27680EE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AF50978"/>
    <w:multiLevelType w:val="hybridMultilevel"/>
    <w:tmpl w:val="0B086E72"/>
    <w:lvl w:ilvl="0" w:tplc="763C6E7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4AA65D3"/>
    <w:multiLevelType w:val="hybridMultilevel"/>
    <w:tmpl w:val="4F0E4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833D8"/>
    <w:rsid w:val="000261B7"/>
    <w:rsid w:val="00035820"/>
    <w:rsid w:val="00094132"/>
    <w:rsid w:val="000C7593"/>
    <w:rsid w:val="000C75E2"/>
    <w:rsid w:val="000E3AD1"/>
    <w:rsid w:val="000E4384"/>
    <w:rsid w:val="0010335D"/>
    <w:rsid w:val="0010457B"/>
    <w:rsid w:val="00121E07"/>
    <w:rsid w:val="00130AF8"/>
    <w:rsid w:val="00173FB1"/>
    <w:rsid w:val="001A54B3"/>
    <w:rsid w:val="001C55AD"/>
    <w:rsid w:val="0020571A"/>
    <w:rsid w:val="00237962"/>
    <w:rsid w:val="002D3ACF"/>
    <w:rsid w:val="002D659A"/>
    <w:rsid w:val="00307816"/>
    <w:rsid w:val="00357396"/>
    <w:rsid w:val="003B5F46"/>
    <w:rsid w:val="003B68E6"/>
    <w:rsid w:val="00415367"/>
    <w:rsid w:val="00416056"/>
    <w:rsid w:val="00446C40"/>
    <w:rsid w:val="00453FCD"/>
    <w:rsid w:val="004603DD"/>
    <w:rsid w:val="004767BD"/>
    <w:rsid w:val="004A47A2"/>
    <w:rsid w:val="00515736"/>
    <w:rsid w:val="0052446E"/>
    <w:rsid w:val="005833D8"/>
    <w:rsid w:val="005834D7"/>
    <w:rsid w:val="00601875"/>
    <w:rsid w:val="00610760"/>
    <w:rsid w:val="00615D6F"/>
    <w:rsid w:val="006231C1"/>
    <w:rsid w:val="00637DFA"/>
    <w:rsid w:val="00654804"/>
    <w:rsid w:val="0065692B"/>
    <w:rsid w:val="0067269A"/>
    <w:rsid w:val="006C0CD7"/>
    <w:rsid w:val="006C7BB3"/>
    <w:rsid w:val="007501A1"/>
    <w:rsid w:val="007B07E0"/>
    <w:rsid w:val="007B1D54"/>
    <w:rsid w:val="00814355"/>
    <w:rsid w:val="008150D4"/>
    <w:rsid w:val="00844039"/>
    <w:rsid w:val="008B07C4"/>
    <w:rsid w:val="008D3FFA"/>
    <w:rsid w:val="00902BC2"/>
    <w:rsid w:val="00943F62"/>
    <w:rsid w:val="009A3FD0"/>
    <w:rsid w:val="009C1449"/>
    <w:rsid w:val="009D187E"/>
    <w:rsid w:val="00A30AE7"/>
    <w:rsid w:val="00A32B4C"/>
    <w:rsid w:val="00A85229"/>
    <w:rsid w:val="00A879BB"/>
    <w:rsid w:val="00A91866"/>
    <w:rsid w:val="00AE1E11"/>
    <w:rsid w:val="00B276DA"/>
    <w:rsid w:val="00B30E2D"/>
    <w:rsid w:val="00B4246A"/>
    <w:rsid w:val="00B74205"/>
    <w:rsid w:val="00BC3C0C"/>
    <w:rsid w:val="00BC7086"/>
    <w:rsid w:val="00C41561"/>
    <w:rsid w:val="00C42AB7"/>
    <w:rsid w:val="00CB74D0"/>
    <w:rsid w:val="00D01E86"/>
    <w:rsid w:val="00D4302B"/>
    <w:rsid w:val="00D76E11"/>
    <w:rsid w:val="00DA6285"/>
    <w:rsid w:val="00DE6D9E"/>
    <w:rsid w:val="00DF1E28"/>
    <w:rsid w:val="00E36AA5"/>
    <w:rsid w:val="00E42376"/>
    <w:rsid w:val="00E6380A"/>
    <w:rsid w:val="00E72A42"/>
    <w:rsid w:val="00E81503"/>
    <w:rsid w:val="00EB0B6F"/>
    <w:rsid w:val="00EF35B6"/>
    <w:rsid w:val="00EF7092"/>
    <w:rsid w:val="00F11DD5"/>
    <w:rsid w:val="00F9473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3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833D8"/>
    <w:pPr>
      <w:spacing w:after="0" w:line="240" w:lineRule="auto"/>
      <w:ind w:left="720"/>
      <w:contextualSpacing/>
    </w:pPr>
    <w:rPr>
      <w:rFonts w:ascii="Times New Roman" w:eastAsia="Times New Roman" w:hAnsi="Times New Roman" w:cs="Times New Roman"/>
      <w:sz w:val="24"/>
      <w:szCs w:val="24"/>
    </w:rPr>
  </w:style>
  <w:style w:type="paragraph" w:styleId="GvdeMetni2">
    <w:name w:val="Body Text 2"/>
    <w:basedOn w:val="Normal"/>
    <w:link w:val="GvdeMetni2Char"/>
    <w:rsid w:val="00446C40"/>
    <w:pPr>
      <w:spacing w:after="0" w:line="240" w:lineRule="auto"/>
      <w:jc w:val="both"/>
    </w:pPr>
    <w:rPr>
      <w:rFonts w:ascii="Bookman Old Style" w:eastAsia="Times New Roman" w:hAnsi="Bookman Old Style" w:cs="Times New Roman"/>
      <w:sz w:val="24"/>
      <w:szCs w:val="24"/>
    </w:rPr>
  </w:style>
  <w:style w:type="character" w:customStyle="1" w:styleId="GvdeMetni2Char">
    <w:name w:val="Gövde Metni 2 Char"/>
    <w:basedOn w:val="VarsaylanParagrafYazTipi"/>
    <w:link w:val="GvdeMetni2"/>
    <w:rsid w:val="00446C40"/>
    <w:rPr>
      <w:rFonts w:ascii="Bookman Old Style" w:eastAsia="Times New Roman" w:hAnsi="Bookman Old Style" w:cs="Times New Roman"/>
      <w:sz w:val="24"/>
      <w:szCs w:val="24"/>
    </w:rPr>
  </w:style>
</w:styles>
</file>

<file path=word/webSettings.xml><?xml version="1.0" encoding="utf-8"?>
<w:webSettings xmlns:r="http://schemas.openxmlformats.org/officeDocument/2006/relationships" xmlns:w="http://schemas.openxmlformats.org/wordprocessingml/2006/main">
  <w:divs>
    <w:div w:id="411049193">
      <w:bodyDiv w:val="1"/>
      <w:marLeft w:val="0"/>
      <w:marRight w:val="0"/>
      <w:marTop w:val="0"/>
      <w:marBottom w:val="0"/>
      <w:divBdr>
        <w:top w:val="none" w:sz="0" w:space="0" w:color="auto"/>
        <w:left w:val="none" w:sz="0" w:space="0" w:color="auto"/>
        <w:bottom w:val="none" w:sz="0" w:space="0" w:color="auto"/>
        <w:right w:val="none" w:sz="0" w:space="0" w:color="auto"/>
      </w:divBdr>
    </w:div>
    <w:div w:id="1303730320">
      <w:bodyDiv w:val="1"/>
      <w:marLeft w:val="0"/>
      <w:marRight w:val="0"/>
      <w:marTop w:val="0"/>
      <w:marBottom w:val="0"/>
      <w:divBdr>
        <w:top w:val="none" w:sz="0" w:space="0" w:color="auto"/>
        <w:left w:val="none" w:sz="0" w:space="0" w:color="auto"/>
        <w:bottom w:val="none" w:sz="0" w:space="0" w:color="auto"/>
        <w:right w:val="none" w:sz="0" w:space="0" w:color="auto"/>
      </w:divBdr>
    </w:div>
    <w:div w:id="17391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5A253-4717-416A-A8ED-A2E4ADEE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3</Pages>
  <Words>1007</Words>
  <Characters>5743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2015-05-27T12:15:00Z</cp:lastPrinted>
  <dcterms:created xsi:type="dcterms:W3CDTF">2015-05-27T08:50:00Z</dcterms:created>
  <dcterms:modified xsi:type="dcterms:W3CDTF">2015-05-29T08:56:00Z</dcterms:modified>
</cp:coreProperties>
</file>